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asciiTheme="majorEastAsia" w:hAnsiTheme="majorEastAsia" w:eastAsiaTheme="majorEastAsia"/>
          <w:b/>
          <w:color w:val="auto"/>
          <w:sz w:val="44"/>
          <w:szCs w:val="44"/>
        </w:rPr>
      </w:pPr>
      <w:r>
        <w:rPr>
          <w:rFonts w:hint="eastAsia" w:cs="Times New Roman" w:asciiTheme="majorEastAsia" w:hAnsiTheme="majorEastAsia" w:eastAsiaTheme="majorEastAsia"/>
          <w:b/>
          <w:color w:val="auto"/>
          <w:sz w:val="44"/>
          <w:szCs w:val="44"/>
        </w:rPr>
        <w:t>香河县</w:t>
      </w:r>
      <w:r>
        <w:rPr>
          <w:rFonts w:hint="eastAsia" w:cs="Times New Roman" w:asciiTheme="majorEastAsia" w:hAnsiTheme="majorEastAsia" w:eastAsiaTheme="majorEastAsia"/>
          <w:b/>
          <w:color w:val="auto"/>
          <w:sz w:val="44"/>
          <w:szCs w:val="44"/>
          <w:lang w:eastAsia="zh-CN"/>
        </w:rPr>
        <w:t>国土资源局</w:t>
      </w:r>
      <w:r>
        <w:rPr>
          <w:rFonts w:cs="Times New Roman" w:asciiTheme="majorEastAsia" w:hAnsiTheme="majorEastAsia" w:eastAsiaTheme="majorEastAsia"/>
          <w:b/>
          <w:color w:val="auto"/>
          <w:sz w:val="44"/>
          <w:szCs w:val="44"/>
        </w:rPr>
        <w:t>201</w:t>
      </w:r>
      <w:r>
        <w:rPr>
          <w:rFonts w:hint="eastAsia" w:cs="Times New Roman" w:asciiTheme="majorEastAsia" w:hAnsiTheme="majorEastAsia" w:eastAsiaTheme="majorEastAsia"/>
          <w:b/>
          <w:color w:val="auto"/>
          <w:sz w:val="44"/>
          <w:szCs w:val="44"/>
          <w:lang w:val="en-US" w:eastAsia="zh-CN"/>
        </w:rPr>
        <w:t>6</w:t>
      </w:r>
      <w:r>
        <w:rPr>
          <w:rFonts w:cs="Times New Roman" w:asciiTheme="majorEastAsia" w:hAnsiTheme="majorEastAsia" w:eastAsiaTheme="majorEastAsia"/>
          <w:b/>
          <w:color w:val="auto"/>
          <w:sz w:val="44"/>
          <w:szCs w:val="44"/>
        </w:rPr>
        <w:t>年</w:t>
      </w:r>
      <w:r>
        <w:rPr>
          <w:rFonts w:hint="eastAsia" w:cs="Times New Roman" w:asciiTheme="majorEastAsia" w:hAnsiTheme="majorEastAsia" w:eastAsiaTheme="majorEastAsia"/>
          <w:b/>
          <w:color w:val="auto"/>
          <w:sz w:val="44"/>
          <w:szCs w:val="44"/>
          <w:lang w:eastAsia="zh-CN"/>
        </w:rPr>
        <w:t>度</w:t>
      </w:r>
      <w:r>
        <w:rPr>
          <w:rFonts w:cs="Times New Roman" w:asciiTheme="majorEastAsia" w:hAnsiTheme="majorEastAsia" w:eastAsiaTheme="majorEastAsia"/>
          <w:b/>
          <w:color w:val="auto"/>
          <w:sz w:val="44"/>
          <w:szCs w:val="44"/>
        </w:rPr>
        <w:t>部门</w:t>
      </w:r>
      <w:r>
        <w:rPr>
          <w:rFonts w:hint="eastAsia" w:cs="Times New Roman" w:asciiTheme="majorEastAsia" w:hAnsiTheme="majorEastAsia" w:eastAsiaTheme="majorEastAsia"/>
          <w:b/>
          <w:color w:val="auto"/>
          <w:sz w:val="44"/>
          <w:szCs w:val="44"/>
          <w:lang w:val="en-US" w:eastAsia="zh-CN"/>
        </w:rPr>
        <w:t>决</w:t>
      </w:r>
      <w:r>
        <w:rPr>
          <w:rFonts w:cs="Times New Roman" w:asciiTheme="majorEastAsia" w:hAnsiTheme="majorEastAsia" w:eastAsiaTheme="majorEastAsia"/>
          <w:b/>
          <w:color w:val="auto"/>
          <w:sz w:val="44"/>
          <w:szCs w:val="44"/>
        </w:rPr>
        <w:t>算公开</w:t>
      </w:r>
      <w:r>
        <w:rPr>
          <w:rFonts w:hint="eastAsia" w:cs="Times New Roman" w:asciiTheme="majorEastAsia" w:hAnsiTheme="majorEastAsia" w:eastAsiaTheme="majorEastAsia"/>
          <w:b/>
          <w:color w:val="auto"/>
          <w:sz w:val="44"/>
          <w:szCs w:val="44"/>
          <w:lang w:eastAsia="zh-CN"/>
        </w:rPr>
        <w:t>情况说明</w:t>
      </w:r>
    </w:p>
    <w:p>
      <w:pPr>
        <w:widowControl/>
        <w:spacing w:line="584" w:lineRule="exact"/>
        <w:ind w:firstLine="640" w:firstLineChars="200"/>
        <w:jc w:val="lef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w:t>
      </w:r>
      <w:bookmarkStart w:id="0" w:name="_GoBack"/>
      <w:bookmarkEnd w:id="0"/>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129号）等规定，现将2016年部门决算公开如下：</w:t>
      </w:r>
    </w:p>
    <w:p>
      <w:pPr>
        <w:widowControl/>
        <w:numPr>
          <w:ilvl w:val="0"/>
          <w:numId w:val="1"/>
        </w:numPr>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部门职责及机构设置情况</w:t>
      </w:r>
    </w:p>
    <w:p>
      <w:pPr>
        <w:widowControl/>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部门职责：</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负责县域内土地管理法律、法规、地质矿产资源管理法律、法规的宣传、贯彻、实施。</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负责县域内土地利用总体规划、土地利用和保护、地籍管理及土地权属登记、发证管理工作。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负责县域内建设用地的审核、呈报及管理工作。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负责县域内土地执法监察和违法用地查处工作。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（五）、</w:t>
      </w:r>
      <w:r>
        <w:rPr>
          <w:rFonts w:hint="eastAsia" w:ascii="仿宋" w:hAnsi="仿宋" w:eastAsia="仿宋" w:cs="仿宋"/>
          <w:sz w:val="32"/>
          <w:szCs w:val="32"/>
        </w:rPr>
        <w:t>负责县域内地质矿产资源管理工作。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（六）、</w:t>
      </w:r>
      <w:r>
        <w:rPr>
          <w:rFonts w:hint="eastAsia" w:ascii="仿宋" w:hAnsi="仿宋" w:eastAsia="仿宋" w:cs="仿宋"/>
          <w:sz w:val="32"/>
          <w:szCs w:val="32"/>
        </w:rPr>
        <w:t>负责县域内土地二、三级市场管理工作。</w:t>
      </w:r>
    </w:p>
    <w:p>
      <w:pPr>
        <w:autoSpaceDE w:val="0"/>
        <w:autoSpaceDN w:val="0"/>
        <w:snapToGrid w:val="0"/>
        <w:spacing w:line="584" w:lineRule="exact"/>
        <w:rPr>
          <w:rFonts w:ascii="Calibri" w:hAnsi="Calibri" w:eastAsia="仿宋_GB2312" w:cs="Times New Roman"/>
          <w:color w:val="333333"/>
          <w:kern w:val="0"/>
          <w:sz w:val="32"/>
          <w:szCs w:val="32"/>
          <w:shd w:val="clear" w:color="auto" w:fill="FFFFFF"/>
        </w:rPr>
      </w:pPr>
    </w:p>
    <w:p>
      <w:pPr>
        <w:widowControl/>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机构设置：</w:t>
      </w:r>
    </w:p>
    <w:p>
      <w:pPr>
        <w:jc w:val="left"/>
        <w:outlineLvl w:val="0"/>
        <w:rPr>
          <w:rFonts w:hint="eastAsia" w:ascii="仿宋" w:hAnsi="仿宋" w:eastAsia="仿宋" w:cs="仿宋"/>
          <w:sz w:val="32"/>
          <w:szCs w:val="24"/>
        </w:rPr>
      </w:pPr>
    </w:p>
    <w:p>
      <w:pPr>
        <w:jc w:val="center"/>
        <w:outlineLvl w:val="0"/>
        <w:rPr>
          <w:rFonts w:hint="eastAsia" w:ascii="仿宋" w:hAnsi="仿宋" w:eastAsia="仿宋" w:cs="仿宋"/>
          <w:sz w:val="32"/>
          <w:szCs w:val="24"/>
        </w:rPr>
      </w:pPr>
      <w:r>
        <w:rPr>
          <w:rFonts w:hint="eastAsia" w:ascii="仿宋" w:hAnsi="仿宋" w:eastAsia="仿宋" w:cs="仿宋"/>
          <w:sz w:val="32"/>
          <w:szCs w:val="24"/>
        </w:rPr>
        <w:t>部门机构设置情况</w:t>
      </w:r>
    </w:p>
    <w:tbl>
      <w:tblPr>
        <w:tblStyle w:val="8"/>
        <w:tblW w:w="9860"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91"/>
        <w:gridCol w:w="1146"/>
        <w:gridCol w:w="1290"/>
        <w:gridCol w:w="2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tblHeader/>
          <w:jc w:val="center"/>
        </w:trPr>
        <w:tc>
          <w:tcPr>
            <w:tcW w:w="4491"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单位名称</w:t>
            </w:r>
          </w:p>
        </w:tc>
        <w:tc>
          <w:tcPr>
            <w:tcW w:w="1146"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单位性质</w:t>
            </w:r>
          </w:p>
        </w:tc>
        <w:tc>
          <w:tcPr>
            <w:tcW w:w="1290"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单位规格</w:t>
            </w:r>
          </w:p>
        </w:tc>
        <w:tc>
          <w:tcPr>
            <w:tcW w:w="2933"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blHeader/>
          <w:jc w:val="center"/>
        </w:trPr>
        <w:tc>
          <w:tcPr>
            <w:tcW w:w="4491"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146"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290" w:type="dxa"/>
            <w:vMerge w:val="continue"/>
            <w:shd w:val="clear" w:color="auto" w:fill="auto"/>
            <w:vAlign w:val="center"/>
          </w:tcPr>
          <w:p>
            <w:pPr>
              <w:spacing w:line="300" w:lineRule="exact"/>
              <w:jc w:val="center"/>
              <w:outlineLvl w:val="0"/>
              <w:rPr>
                <w:rFonts w:hint="eastAsia" w:ascii="仿宋" w:hAnsi="仿宋" w:eastAsia="仿宋" w:cs="仿宋"/>
                <w:szCs w:val="24"/>
              </w:rPr>
            </w:pPr>
          </w:p>
        </w:tc>
        <w:tc>
          <w:tcPr>
            <w:tcW w:w="2933" w:type="dxa"/>
            <w:vMerge w:val="continue"/>
            <w:shd w:val="clear" w:color="auto" w:fill="auto"/>
            <w:vAlign w:val="center"/>
          </w:tcPr>
          <w:p>
            <w:pPr>
              <w:spacing w:line="300" w:lineRule="exact"/>
              <w:jc w:val="left"/>
              <w:outlineLvl w:val="0"/>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香河县国土资源局</w:t>
            </w:r>
          </w:p>
        </w:tc>
        <w:tc>
          <w:tcPr>
            <w:tcW w:w="1146"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事业单位</w:t>
            </w:r>
          </w:p>
        </w:tc>
        <w:tc>
          <w:tcPr>
            <w:tcW w:w="1290"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正科级</w:t>
            </w:r>
          </w:p>
        </w:tc>
        <w:tc>
          <w:tcPr>
            <w:tcW w:w="2933"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2"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4491" w:type="dxa"/>
            <w:shd w:val="clear" w:color="auto" w:fill="auto"/>
            <w:vAlign w:val="center"/>
          </w:tcPr>
          <w:p>
            <w:pPr>
              <w:spacing w:line="300" w:lineRule="exact"/>
              <w:jc w:val="left"/>
              <w:rPr>
                <w:rFonts w:hint="eastAsia" w:ascii="仿宋" w:hAnsi="仿宋" w:eastAsia="仿宋" w:cs="仿宋"/>
                <w:szCs w:val="24"/>
              </w:rPr>
            </w:pPr>
          </w:p>
        </w:tc>
        <w:tc>
          <w:tcPr>
            <w:tcW w:w="1146" w:type="dxa"/>
            <w:shd w:val="clear" w:color="auto" w:fill="auto"/>
            <w:vAlign w:val="center"/>
          </w:tcPr>
          <w:p>
            <w:pPr>
              <w:spacing w:line="300" w:lineRule="exact"/>
              <w:jc w:val="left"/>
              <w:rPr>
                <w:rFonts w:hint="eastAsia" w:ascii="仿宋" w:hAnsi="仿宋" w:eastAsia="仿宋" w:cs="仿宋"/>
                <w:szCs w:val="24"/>
              </w:rPr>
            </w:pPr>
          </w:p>
        </w:tc>
        <w:tc>
          <w:tcPr>
            <w:tcW w:w="1290" w:type="dxa"/>
            <w:shd w:val="clear" w:color="auto" w:fill="auto"/>
            <w:vAlign w:val="center"/>
          </w:tcPr>
          <w:p>
            <w:pPr>
              <w:spacing w:line="300" w:lineRule="exact"/>
              <w:jc w:val="left"/>
              <w:rPr>
                <w:rFonts w:hint="eastAsia" w:ascii="仿宋" w:hAnsi="仿宋" w:eastAsia="仿宋" w:cs="仿宋"/>
                <w:szCs w:val="24"/>
              </w:rPr>
            </w:pPr>
          </w:p>
        </w:tc>
        <w:tc>
          <w:tcPr>
            <w:tcW w:w="2933" w:type="dxa"/>
            <w:shd w:val="clear" w:color="auto" w:fill="auto"/>
            <w:vAlign w:val="center"/>
          </w:tcPr>
          <w:p>
            <w:pPr>
              <w:spacing w:line="300" w:lineRule="exact"/>
              <w:jc w:val="left"/>
              <w:rPr>
                <w:rFonts w:hint="eastAsia" w:ascii="仿宋" w:hAnsi="仿宋" w:eastAsia="仿宋" w:cs="仿宋"/>
                <w:szCs w:val="24"/>
              </w:rPr>
            </w:pPr>
          </w:p>
        </w:tc>
      </w:tr>
    </w:tbl>
    <w:p>
      <w:pPr>
        <w:ind w:firstLine="640"/>
        <w:rPr>
          <w:rFonts w:hint="eastAsia" w:ascii="仿宋" w:hAnsi="仿宋" w:eastAsia="仿宋" w:cs="仿宋"/>
          <w:sz w:val="32"/>
          <w:szCs w:val="32"/>
        </w:rPr>
      </w:pPr>
    </w:p>
    <w:p>
      <w:pPr>
        <w:snapToGrid w:val="0"/>
        <w:spacing w:line="584" w:lineRule="exact"/>
        <w:rPr>
          <w:rFonts w:ascii="Calibri" w:hAnsi="Calibri" w:eastAsia="黑体" w:cs="Times New Roman"/>
          <w:sz w:val="28"/>
          <w:szCs w:val="28"/>
        </w:rPr>
      </w:pP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二、部门决算报表（附表）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p>
    <w:p>
      <w:pPr>
        <w:spacing w:line="584" w:lineRule="exact"/>
        <w:rPr>
          <w:rFonts w:ascii="Calibri" w:hAnsi="Calibri" w:eastAsia="仿宋_GB2312" w:cs="Times New Roman"/>
          <w:sz w:val="32"/>
          <w:szCs w:val="32"/>
        </w:rPr>
      </w:pPr>
      <w:r>
        <w:rPr>
          <w:rFonts w:ascii="Calibri" w:hAnsi="Calibri" w:eastAsia="仿宋_GB2312" w:cs="Times New Roman"/>
          <w:sz w:val="32"/>
          <w:szCs w:val="32"/>
        </w:rPr>
        <w:t xml:space="preserve">        </w:t>
      </w: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八</w:t>
      </w:r>
      <w:r>
        <w:rPr>
          <w:rFonts w:hint="eastAsia" w:eastAsia="仿宋_GB2312"/>
          <w:sz w:val="32"/>
          <w:szCs w:val="32"/>
        </w:rPr>
        <w:t>）</w:t>
      </w:r>
      <w:r>
        <w:rPr>
          <w:rFonts w:ascii="Calibri" w:hAnsi="Calibri" w:eastAsia="仿宋_GB2312" w:cs="Times New Roman"/>
          <w:sz w:val="32"/>
          <w:szCs w:val="32"/>
        </w:rPr>
        <w:t>国有资本经营预算财政拨款支出决算表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三、2016年度部门决算情况说明</w:t>
      </w:r>
    </w:p>
    <w:p>
      <w:pPr>
        <w:snapToGrid w:val="0"/>
        <w:spacing w:line="584" w:lineRule="exact"/>
        <w:ind w:firstLine="64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只包括本单位</w:t>
      </w:r>
      <w:r>
        <w:rPr>
          <w:rFonts w:hint="eastAsia" w:ascii="仿宋" w:hAnsi="仿宋" w:eastAsia="仿宋" w:cs="Times New Roman"/>
          <w:sz w:val="32"/>
          <w:szCs w:val="32"/>
          <w:highlight w:val="none"/>
          <w:lang w:eastAsia="zh-CN"/>
        </w:rPr>
        <w:t>决</w:t>
      </w:r>
      <w:r>
        <w:rPr>
          <w:rFonts w:hint="eastAsia" w:ascii="仿宋" w:hAnsi="仿宋" w:eastAsia="仿宋" w:cs="Times New Roman"/>
          <w:sz w:val="32"/>
          <w:szCs w:val="32"/>
          <w:highlight w:val="none"/>
        </w:rPr>
        <w:t>算，不包含下属单位</w:t>
      </w:r>
      <w:r>
        <w:rPr>
          <w:rFonts w:hint="eastAsia" w:ascii="仿宋" w:hAnsi="仿宋" w:eastAsia="仿宋" w:cs="Times New Roman"/>
          <w:sz w:val="32"/>
          <w:szCs w:val="32"/>
          <w:highlight w:val="none"/>
          <w:lang w:eastAsia="zh-CN"/>
        </w:rPr>
        <w:t>决</w:t>
      </w:r>
      <w:r>
        <w:rPr>
          <w:rFonts w:hint="eastAsia" w:ascii="仿宋" w:hAnsi="仿宋" w:eastAsia="仿宋" w:cs="Times New Roman"/>
          <w:sz w:val="32"/>
          <w:szCs w:val="32"/>
          <w:highlight w:val="none"/>
        </w:rPr>
        <w:t>算在汇总</w:t>
      </w:r>
      <w:r>
        <w:rPr>
          <w:rFonts w:hint="eastAsia" w:ascii="仿宋" w:hAnsi="仿宋" w:eastAsia="仿宋" w:cs="Times New Roman"/>
          <w:sz w:val="32"/>
          <w:szCs w:val="32"/>
          <w:highlight w:val="none"/>
          <w:lang w:eastAsia="zh-CN"/>
        </w:rPr>
        <w:t>决</w:t>
      </w:r>
      <w:r>
        <w:rPr>
          <w:rFonts w:hint="eastAsia" w:ascii="仿宋" w:hAnsi="仿宋" w:eastAsia="仿宋" w:cs="Times New Roman"/>
          <w:sz w:val="32"/>
          <w:szCs w:val="32"/>
          <w:highlight w:val="none"/>
        </w:rPr>
        <w:t>算中。</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（一）收入支出决算总体情况说明</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反映本部门综合收支情况。</w:t>
      </w:r>
      <w:r>
        <w:rPr>
          <w:rFonts w:hint="eastAsia" w:ascii="Calibri" w:hAnsi="Calibri" w:eastAsia="仿宋_GB2312" w:cs="Times New Roman"/>
          <w:sz w:val="32"/>
          <w:szCs w:val="32"/>
          <w:lang w:val="en-US" w:eastAsia="zh-CN"/>
        </w:rPr>
        <w:t>2016年度收入120228.42万元，与2015年度相比增加89456.85万元。2016年度支出共计120220.08万元，与2015年度相比增加89507.81万元。</w:t>
      </w:r>
      <w:r>
        <w:rPr>
          <w:rFonts w:hint="eastAsia" w:ascii="Calibri" w:hAnsi="Calibri" w:eastAsia="仿宋_GB2312"/>
          <w:sz w:val="32"/>
          <w:szCs w:val="32"/>
        </w:rPr>
        <w:t>年初结转和结余</w:t>
      </w:r>
      <w:r>
        <w:rPr>
          <w:rFonts w:hint="eastAsia" w:ascii="Calibri" w:hAnsi="Calibri" w:eastAsia="仿宋_GB2312"/>
          <w:sz w:val="32"/>
          <w:szCs w:val="32"/>
          <w:lang w:val="en-US" w:eastAsia="zh-CN"/>
        </w:rPr>
        <w:t>192.26</w:t>
      </w:r>
      <w:r>
        <w:rPr>
          <w:rFonts w:hint="eastAsia" w:ascii="Calibri" w:hAnsi="Calibri" w:eastAsia="仿宋_GB2312"/>
          <w:sz w:val="32"/>
          <w:szCs w:val="32"/>
        </w:rPr>
        <w:t>万元；年末结转和结余</w:t>
      </w:r>
      <w:r>
        <w:rPr>
          <w:rFonts w:hint="eastAsia" w:ascii="Calibri" w:hAnsi="Calibri" w:eastAsia="仿宋_GB2312"/>
          <w:sz w:val="32"/>
          <w:szCs w:val="32"/>
          <w:lang w:val="en-US" w:eastAsia="zh-CN"/>
        </w:rPr>
        <w:t>200.6</w:t>
      </w:r>
      <w:r>
        <w:rPr>
          <w:rFonts w:hint="eastAsia" w:ascii="Calibri" w:hAnsi="Calibri" w:eastAsia="仿宋_GB2312"/>
          <w:sz w:val="32"/>
          <w:szCs w:val="32"/>
        </w:rPr>
        <w:t>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（二）收入决算情况说明</w:t>
      </w:r>
    </w:p>
    <w:p>
      <w:pPr>
        <w:spacing w:line="584" w:lineRule="exact"/>
        <w:ind w:firstLine="640" w:firstLineChars="200"/>
        <w:rPr>
          <w:rFonts w:hint="eastAsia" w:ascii="Calibri" w:hAnsi="Calibri" w:eastAsia="仿宋_GB2312"/>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lang w:val="en-US" w:eastAsia="zh-CN"/>
        </w:rPr>
        <w:t>2016年度</w:t>
      </w:r>
      <w:r>
        <w:rPr>
          <w:rFonts w:hint="eastAsia" w:ascii="Calibri" w:hAnsi="Calibri" w:eastAsia="仿宋_GB2312"/>
          <w:sz w:val="32"/>
          <w:szCs w:val="32"/>
        </w:rPr>
        <w:t>本年收入合计</w:t>
      </w:r>
      <w:r>
        <w:rPr>
          <w:rFonts w:hint="eastAsia" w:ascii="Calibri" w:hAnsi="Calibri" w:eastAsia="仿宋_GB2312" w:cs="Times New Roman"/>
          <w:sz w:val="32"/>
          <w:szCs w:val="32"/>
          <w:lang w:val="en-US" w:eastAsia="zh-CN"/>
        </w:rPr>
        <w:t>120228.42万元，</w:t>
      </w:r>
      <w:r>
        <w:rPr>
          <w:rFonts w:hint="eastAsia" w:ascii="Calibri" w:hAnsi="Calibri" w:eastAsia="仿宋_GB2312"/>
          <w:sz w:val="32"/>
          <w:szCs w:val="32"/>
        </w:rPr>
        <w:t>其中：财政拨款收入</w:t>
      </w:r>
      <w:r>
        <w:rPr>
          <w:rFonts w:hint="eastAsia" w:ascii="Calibri" w:hAnsi="Calibri" w:eastAsia="仿宋_GB2312" w:cs="Times New Roman"/>
          <w:sz w:val="32"/>
          <w:szCs w:val="32"/>
          <w:lang w:val="en-US" w:eastAsia="zh-CN"/>
        </w:rPr>
        <w:t>120228.42</w:t>
      </w:r>
      <w:r>
        <w:rPr>
          <w:rFonts w:hint="eastAsia" w:ascii="Calibri" w:hAnsi="Calibri" w:eastAsia="仿宋_GB2312"/>
          <w:sz w:val="32"/>
          <w:szCs w:val="32"/>
        </w:rPr>
        <w:t>万元、事业收入0万元、其他收入0万元。具体情况如下：</w:t>
      </w:r>
    </w:p>
    <w:p>
      <w:pPr>
        <w:spacing w:line="584" w:lineRule="exact"/>
        <w:ind w:firstLine="640" w:firstLineChars="200"/>
        <w:rPr>
          <w:rFonts w:ascii="Calibri" w:hAnsi="Calibri" w:eastAsia="仿宋_GB2312" w:cs="Times New Roman"/>
          <w:color w:val="FF0000"/>
          <w:sz w:val="32"/>
          <w:szCs w:val="32"/>
          <w:lang w:val="en-US"/>
        </w:rPr>
      </w:pPr>
      <w:r>
        <w:rPr>
          <w:rFonts w:hint="eastAsia" w:ascii="Calibri" w:hAnsi="Calibri" w:eastAsia="仿宋_GB2312"/>
          <w:sz w:val="32"/>
          <w:szCs w:val="32"/>
        </w:rPr>
        <w:t>财政拨款收入</w:t>
      </w:r>
      <w:r>
        <w:rPr>
          <w:rFonts w:hint="eastAsia" w:ascii="Calibri" w:hAnsi="Calibri" w:eastAsia="仿宋_GB2312" w:cs="Times New Roman"/>
          <w:sz w:val="32"/>
          <w:szCs w:val="32"/>
          <w:lang w:val="en-US" w:eastAsia="zh-CN"/>
        </w:rPr>
        <w:t>120228.42</w:t>
      </w:r>
      <w:r>
        <w:rPr>
          <w:rFonts w:hint="eastAsia" w:ascii="Calibri" w:hAnsi="Calibri" w:eastAsia="仿宋_GB2312"/>
          <w:sz w:val="32"/>
          <w:szCs w:val="32"/>
        </w:rPr>
        <w:t>万元，较2015年</w:t>
      </w:r>
      <w:r>
        <w:rPr>
          <w:rFonts w:hint="eastAsia" w:ascii="Calibri" w:hAnsi="Calibri" w:eastAsia="仿宋_GB2312"/>
          <w:sz w:val="32"/>
          <w:szCs w:val="32"/>
          <w:lang w:eastAsia="zh-CN"/>
        </w:rPr>
        <w:t>度</w:t>
      </w:r>
      <w:r>
        <w:rPr>
          <w:rFonts w:hint="eastAsia" w:ascii="Calibri" w:hAnsi="Calibri" w:eastAsia="仿宋_GB2312"/>
          <w:sz w:val="32"/>
          <w:szCs w:val="32"/>
        </w:rPr>
        <w:t>决算增加</w:t>
      </w:r>
      <w:r>
        <w:rPr>
          <w:rFonts w:hint="eastAsia" w:ascii="Calibri" w:hAnsi="Calibri" w:eastAsia="仿宋_GB2312" w:cs="Times New Roman"/>
          <w:sz w:val="32"/>
          <w:szCs w:val="32"/>
          <w:lang w:val="en-US" w:eastAsia="zh-CN"/>
        </w:rPr>
        <w:t>89456.85</w:t>
      </w:r>
      <w:r>
        <w:rPr>
          <w:rFonts w:hint="eastAsia" w:ascii="Calibri" w:hAnsi="Calibri" w:eastAsia="仿宋_GB2312"/>
          <w:sz w:val="32"/>
          <w:szCs w:val="32"/>
        </w:rPr>
        <w:t>万元，主要原因是</w:t>
      </w:r>
      <w:r>
        <w:rPr>
          <w:rFonts w:hint="eastAsia" w:ascii="Calibri" w:hAnsi="Calibri" w:eastAsia="仿宋_GB2312"/>
          <w:sz w:val="32"/>
          <w:szCs w:val="32"/>
          <w:lang w:eastAsia="zh-CN"/>
        </w:rPr>
        <w:t>城乡社区支出</w:t>
      </w:r>
      <w:r>
        <w:rPr>
          <w:rFonts w:hint="eastAsia" w:ascii="Calibri" w:hAnsi="Calibri" w:eastAsia="仿宋_GB2312"/>
          <w:sz w:val="32"/>
          <w:szCs w:val="32"/>
        </w:rPr>
        <w:t>拨款增加，其中主要是</w:t>
      </w:r>
      <w:r>
        <w:rPr>
          <w:rFonts w:hint="eastAsia" w:ascii="Calibri" w:hAnsi="Calibri" w:eastAsia="仿宋_GB2312"/>
          <w:sz w:val="32"/>
          <w:szCs w:val="32"/>
          <w:lang w:eastAsia="zh-CN"/>
        </w:rPr>
        <w:t>土地开发</w:t>
      </w:r>
      <w:r>
        <w:rPr>
          <w:rFonts w:hint="eastAsia" w:ascii="Calibri" w:hAnsi="Calibri" w:eastAsia="仿宋_GB2312"/>
          <w:sz w:val="32"/>
          <w:szCs w:val="32"/>
        </w:rPr>
        <w:t>支出增加。</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（三）支出决算情况说明</w:t>
      </w:r>
    </w:p>
    <w:p>
      <w:pPr>
        <w:snapToGrid w:val="0"/>
        <w:spacing w:line="584" w:lineRule="exact"/>
        <w:ind w:firstLine="640"/>
        <w:rPr>
          <w:rFonts w:hint="eastAsia" w:ascii="Calibri" w:hAnsi="Calibri" w:eastAsia="仿宋_GB2312" w:cs="Times New Roman"/>
          <w:sz w:val="32"/>
          <w:szCs w:val="32"/>
          <w:lang w:val="en-US" w:eastAsia="zh-CN"/>
        </w:rPr>
      </w:pPr>
      <w:r>
        <w:rPr>
          <w:rFonts w:ascii="Calibri" w:hAnsi="Calibri" w:eastAsia="仿宋_GB2312" w:cs="Times New Roman"/>
          <w:sz w:val="32"/>
          <w:szCs w:val="32"/>
        </w:rPr>
        <w:t>反映本部门当年总体支出情况。</w:t>
      </w:r>
      <w:r>
        <w:rPr>
          <w:rFonts w:hint="eastAsia" w:ascii="Calibri" w:hAnsi="Calibri" w:eastAsia="仿宋_GB2312" w:cs="Times New Roman"/>
          <w:sz w:val="32"/>
          <w:szCs w:val="32"/>
          <w:lang w:val="en-US" w:eastAsia="zh-CN"/>
        </w:rPr>
        <w:t>2016年度</w:t>
      </w:r>
      <w:r>
        <w:rPr>
          <w:rFonts w:hint="eastAsia" w:ascii="Calibri" w:hAnsi="Calibri" w:eastAsia="仿宋_GB2312"/>
          <w:sz w:val="32"/>
          <w:szCs w:val="32"/>
        </w:rPr>
        <w:t>支出合计</w:t>
      </w:r>
      <w:r>
        <w:rPr>
          <w:rFonts w:hint="eastAsia" w:ascii="Calibri" w:hAnsi="Calibri" w:eastAsia="仿宋_GB2312" w:cs="Times New Roman"/>
          <w:sz w:val="32"/>
          <w:szCs w:val="32"/>
          <w:lang w:val="en-US" w:eastAsia="zh-CN"/>
        </w:rPr>
        <w:t>120220.08万元，其中：城乡社区支出118846.41万元、国土海洋气象等支出1303.47万元、住房保障支出70.2万元。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（四）财政拨款收入支出决算总体情况说明</w:t>
      </w:r>
    </w:p>
    <w:p>
      <w:pPr>
        <w:widowControl/>
        <w:spacing w:line="584" w:lineRule="exact"/>
        <w:ind w:firstLine="640" w:firstLineChars="200"/>
        <w:jc w:val="left"/>
        <w:rPr>
          <w:rFonts w:ascii="Calibri" w:hAnsi="Calibri" w:eastAsia="仿宋_GB2312" w:cs="Times New Roman"/>
          <w:color w:val="FF0000"/>
          <w:sz w:val="32"/>
          <w:szCs w:val="32"/>
        </w:rPr>
      </w:pPr>
      <w:r>
        <w:rPr>
          <w:rFonts w:ascii="Calibri" w:hAnsi="Calibri" w:eastAsia="仿宋_GB2312" w:cs="Times New Roman"/>
          <w:sz w:val="32"/>
          <w:szCs w:val="32"/>
        </w:rPr>
        <w:t>反映本部门财政拨款收支情况。</w:t>
      </w:r>
      <w:r>
        <w:rPr>
          <w:rFonts w:hint="eastAsia" w:ascii="Calibri" w:hAnsi="Calibri" w:eastAsia="仿宋_GB2312" w:cs="Times New Roman"/>
          <w:sz w:val="32"/>
          <w:szCs w:val="32"/>
          <w:lang w:val="en-US" w:eastAsia="zh-CN"/>
        </w:rPr>
        <w:t>2016年度财政拨款收入共120228.42万元，其中：一般公共预算财政拨款1373.32万元、政府性基金预算财政拨款118855.1万元。本年支出共计120220.08万元，其中：一般公共预算财政拨款支出1373.66万元、政府性基金预算财政拨款118846.41万元。本年支出较2015年度增加89507.81万元，</w:t>
      </w:r>
      <w:r>
        <w:rPr>
          <w:rFonts w:hint="eastAsia" w:ascii="仿宋" w:hAnsi="仿宋" w:eastAsia="仿宋" w:cs="仿宋"/>
          <w:sz w:val="32"/>
          <w:szCs w:val="32"/>
        </w:rPr>
        <w:t>其中：基本支出</w:t>
      </w:r>
      <w:r>
        <w:rPr>
          <w:rFonts w:hint="eastAsia" w:ascii="仿宋" w:hAnsi="仿宋" w:eastAsia="仿宋" w:cs="仿宋"/>
          <w:sz w:val="32"/>
          <w:szCs w:val="32"/>
          <w:highlight w:val="none"/>
        </w:rPr>
        <w:t>增加</w:t>
      </w:r>
      <w:r>
        <w:rPr>
          <w:rFonts w:hint="eastAsia" w:ascii="仿宋" w:hAnsi="仿宋" w:eastAsia="仿宋" w:cs="仿宋"/>
          <w:sz w:val="32"/>
          <w:szCs w:val="32"/>
          <w:lang w:val="en-US" w:eastAsia="zh-CN"/>
        </w:rPr>
        <w:t>218.21</w:t>
      </w:r>
      <w:r>
        <w:rPr>
          <w:rFonts w:hint="eastAsia" w:ascii="仿宋" w:hAnsi="仿宋" w:eastAsia="仿宋" w:cs="仿宋"/>
          <w:sz w:val="32"/>
          <w:szCs w:val="32"/>
        </w:rPr>
        <w:t>万元，主要</w:t>
      </w:r>
      <w:r>
        <w:rPr>
          <w:rFonts w:hint="eastAsia" w:ascii="仿宋" w:hAnsi="仿宋" w:eastAsia="仿宋" w:cs="仿宋"/>
          <w:sz w:val="32"/>
          <w:szCs w:val="32"/>
          <w:lang w:eastAsia="zh-CN"/>
        </w:rPr>
        <w:t>是</w:t>
      </w:r>
      <w:r>
        <w:rPr>
          <w:rFonts w:hint="eastAsia" w:ascii="仿宋" w:hAnsi="仿宋" w:eastAsia="仿宋" w:cs="仿宋"/>
          <w:sz w:val="32"/>
          <w:szCs w:val="32"/>
          <w:highlight w:val="none"/>
        </w:rPr>
        <w:t>增加</w:t>
      </w:r>
      <w:r>
        <w:rPr>
          <w:rFonts w:hint="eastAsia" w:ascii="仿宋" w:hAnsi="仿宋" w:eastAsia="仿宋" w:cs="仿宋"/>
          <w:sz w:val="32"/>
          <w:szCs w:val="32"/>
          <w:highlight w:val="none"/>
          <w:lang w:eastAsia="zh-CN"/>
        </w:rPr>
        <w:t>了</w:t>
      </w:r>
      <w:r>
        <w:rPr>
          <w:rFonts w:hint="eastAsia" w:ascii="仿宋" w:hAnsi="仿宋" w:eastAsia="仿宋" w:cs="仿宋"/>
          <w:sz w:val="32"/>
          <w:szCs w:val="32"/>
          <w:highlight w:val="none"/>
        </w:rPr>
        <w:t>人员经费支出</w:t>
      </w:r>
      <w:r>
        <w:rPr>
          <w:rFonts w:hint="eastAsia" w:ascii="仿宋" w:hAnsi="仿宋" w:eastAsia="仿宋" w:cs="仿宋"/>
          <w:sz w:val="32"/>
          <w:szCs w:val="32"/>
        </w:rPr>
        <w:t>；项目支出</w:t>
      </w:r>
      <w:r>
        <w:rPr>
          <w:rFonts w:hint="eastAsia" w:ascii="仿宋" w:hAnsi="仿宋" w:eastAsia="仿宋" w:cs="仿宋"/>
          <w:sz w:val="32"/>
          <w:szCs w:val="32"/>
          <w:highlight w:val="none"/>
        </w:rPr>
        <w:t>增加</w:t>
      </w:r>
      <w:r>
        <w:rPr>
          <w:rFonts w:hint="eastAsia" w:ascii="仿宋" w:hAnsi="仿宋" w:eastAsia="仿宋" w:cs="仿宋"/>
          <w:sz w:val="32"/>
          <w:szCs w:val="32"/>
          <w:highlight w:val="none"/>
          <w:lang w:val="en-US" w:eastAsia="zh-CN"/>
        </w:rPr>
        <w:t>89289.59</w:t>
      </w:r>
      <w:r>
        <w:rPr>
          <w:rFonts w:hint="eastAsia" w:ascii="仿宋" w:hAnsi="仿宋" w:eastAsia="仿宋" w:cs="仿宋"/>
          <w:sz w:val="32"/>
          <w:szCs w:val="32"/>
        </w:rPr>
        <w:t>万元，主要为</w:t>
      </w:r>
      <w:r>
        <w:rPr>
          <w:rFonts w:hint="eastAsia" w:ascii="仿宋" w:hAnsi="仿宋" w:eastAsia="仿宋" w:cs="仿宋"/>
          <w:sz w:val="32"/>
          <w:szCs w:val="32"/>
          <w:lang w:eastAsia="zh-CN"/>
        </w:rPr>
        <w:t>城乡社区</w:t>
      </w:r>
      <w:r>
        <w:rPr>
          <w:rFonts w:hint="eastAsia" w:ascii="仿宋" w:hAnsi="仿宋" w:eastAsia="仿宋" w:cs="仿宋"/>
          <w:sz w:val="32"/>
          <w:szCs w:val="32"/>
        </w:rPr>
        <w:t>项目支出。</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2016年度部门“三公”经费支出</w:t>
      </w:r>
      <w:r>
        <w:rPr>
          <w:rFonts w:hint="eastAsia" w:ascii="Calibri" w:hAnsi="Calibri" w:eastAsia="仿宋_GB2312" w:cs="Times New Roman"/>
          <w:sz w:val="32"/>
          <w:szCs w:val="32"/>
          <w:lang w:val="en-US" w:eastAsia="zh-CN"/>
        </w:rPr>
        <w:t>1.9</w:t>
      </w:r>
      <w:r>
        <w:rPr>
          <w:rFonts w:ascii="Calibri" w:hAnsi="Calibri" w:eastAsia="仿宋_GB2312" w:cs="Times New Roman"/>
          <w:sz w:val="32"/>
          <w:szCs w:val="32"/>
        </w:rPr>
        <w:t>万元，</w:t>
      </w:r>
      <w:r>
        <w:rPr>
          <w:rFonts w:hint="eastAsia" w:ascii="Calibri" w:hAnsi="Calibri" w:eastAsia="仿宋_GB2312" w:cs="Times New Roman"/>
          <w:sz w:val="32"/>
          <w:szCs w:val="32"/>
          <w:lang w:eastAsia="zh-CN"/>
        </w:rPr>
        <w:t>与预算持平</w:t>
      </w:r>
      <w:r>
        <w:rPr>
          <w:rFonts w:ascii="Calibri" w:hAnsi="Calibri" w:eastAsia="仿宋_GB2312" w:cs="Times New Roman"/>
          <w:sz w:val="32"/>
          <w:szCs w:val="32"/>
        </w:rPr>
        <w:t>，</w:t>
      </w:r>
      <w:r>
        <w:rPr>
          <w:rFonts w:hint="eastAsia" w:ascii="Calibri" w:hAnsi="Calibri" w:eastAsia="仿宋_GB2312" w:cs="Times New Roman"/>
          <w:sz w:val="32"/>
          <w:szCs w:val="32"/>
          <w:lang w:eastAsia="zh-CN"/>
        </w:rPr>
        <w:t>与</w:t>
      </w:r>
      <w:r>
        <w:rPr>
          <w:rFonts w:hint="eastAsia" w:ascii="Calibri" w:hAnsi="Calibri" w:eastAsia="仿宋_GB2312" w:cs="Times New Roman"/>
          <w:sz w:val="32"/>
          <w:szCs w:val="32"/>
          <w:lang w:val="en-US" w:eastAsia="zh-CN"/>
        </w:rPr>
        <w:t>2015年度决算持平，均无增减变化</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万元（本单位2016年度组织出国（境）团组</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个，因公出国（境）人次数</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人），比预算增加（减少）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万元，比2015年度决算增加（减少）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万元；公务用车购置及运行维护费</w:t>
      </w:r>
      <w:r>
        <w:rPr>
          <w:rFonts w:hint="eastAsia" w:ascii="Calibri" w:hAnsi="Calibri" w:eastAsia="仿宋_GB2312" w:cs="Times New Roman"/>
          <w:sz w:val="32"/>
          <w:szCs w:val="32"/>
          <w:lang w:val="en-US" w:eastAsia="zh-CN"/>
        </w:rPr>
        <w:t>1.9</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辆，购置金额</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lang w:val="en-US" w:eastAsia="zh-CN"/>
        </w:rPr>
        <w:t>1.9</w:t>
      </w:r>
      <w:r>
        <w:rPr>
          <w:rFonts w:ascii="Calibri" w:hAnsi="Calibri" w:eastAsia="仿宋_GB2312" w:cs="Times New Roman"/>
          <w:sz w:val="32"/>
          <w:szCs w:val="32"/>
        </w:rPr>
        <w:t>万元，年末公务用车保有量</w:t>
      </w:r>
      <w:r>
        <w:rPr>
          <w:rFonts w:hint="eastAsia" w:ascii="Calibri" w:hAnsi="Calibri" w:eastAsia="仿宋_GB2312" w:cs="Times New Roman"/>
          <w:sz w:val="32"/>
          <w:szCs w:val="32"/>
          <w:lang w:val="en-US" w:eastAsia="zh-CN"/>
        </w:rPr>
        <w:t>1</w:t>
      </w:r>
      <w:r>
        <w:rPr>
          <w:rFonts w:ascii="Calibri" w:hAnsi="Calibri" w:eastAsia="仿宋_GB2312" w:cs="Times New Roman"/>
          <w:sz w:val="32"/>
          <w:szCs w:val="32"/>
        </w:rPr>
        <w:t>辆），比预算增加（减少）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万元，比2015年度决算增加（减少）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万元；公务接待费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万元（2016年度国内公务接待</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批次，合计接待</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人次），比预算增加（减少）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万元，比2015年度决算增加（减少）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w:t>
      </w:r>
    </w:p>
    <w:p>
      <w:pPr>
        <w:widowControl/>
        <w:spacing w:line="584" w:lineRule="exact"/>
        <w:ind w:firstLine="640" w:firstLineChars="200"/>
        <w:jc w:val="left"/>
        <w:rPr>
          <w:rFonts w:ascii="Calibri" w:hAnsi="Calibri" w:eastAsia="仿宋_GB2312" w:cs="Times New Roman"/>
          <w:sz w:val="32"/>
          <w:szCs w:val="32"/>
        </w:rPr>
      </w:pP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（六）机关运行经费支出情况的说明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2016年度部门机关运行经费支出</w:t>
      </w:r>
      <w:r>
        <w:rPr>
          <w:rFonts w:hint="eastAsia" w:ascii="Calibri" w:hAnsi="Calibri" w:eastAsia="仿宋_GB2312" w:cs="Times New Roman"/>
          <w:sz w:val="32"/>
          <w:szCs w:val="32"/>
          <w:lang w:val="en-US" w:eastAsia="zh-CN"/>
        </w:rPr>
        <w:t>772.52</w:t>
      </w:r>
      <w:r>
        <w:rPr>
          <w:rFonts w:ascii="Calibri" w:hAnsi="Calibri" w:eastAsia="仿宋_GB2312" w:cs="Times New Roman"/>
          <w:sz w:val="32"/>
          <w:szCs w:val="32"/>
        </w:rPr>
        <w:t>万元，比2015年度增加</w:t>
      </w:r>
      <w:r>
        <w:rPr>
          <w:rFonts w:hint="eastAsia" w:ascii="仿宋" w:hAnsi="仿宋" w:eastAsia="仿宋" w:cs="仿宋"/>
          <w:sz w:val="32"/>
          <w:szCs w:val="32"/>
          <w:lang w:val="en-US" w:eastAsia="zh-CN"/>
        </w:rPr>
        <w:t>152.97</w:t>
      </w:r>
      <w:r>
        <w:rPr>
          <w:rFonts w:ascii="Calibri" w:hAnsi="Calibri" w:eastAsia="仿宋_GB2312" w:cs="Times New Roman"/>
          <w:sz w:val="32"/>
          <w:szCs w:val="32"/>
        </w:rPr>
        <w:t>万元，原因是</w:t>
      </w:r>
      <w:r>
        <w:rPr>
          <w:rFonts w:hint="eastAsia" w:ascii="仿宋" w:hAnsi="仿宋" w:eastAsia="仿宋" w:cs="仿宋"/>
          <w:sz w:val="32"/>
          <w:szCs w:val="32"/>
          <w:highlight w:val="none"/>
          <w:lang w:eastAsia="zh-CN"/>
        </w:rPr>
        <w:t>成立香河县不动产登记中心，业务量增加</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（七）绩效预算信息</w:t>
      </w:r>
    </w:p>
    <w:p>
      <w:pPr>
        <w:autoSpaceDE w:val="0"/>
        <w:autoSpaceDN w:val="0"/>
        <w:adjustRightInd w:val="0"/>
        <w:ind w:left="198" w:firstLine="640" w:firstLineChars="200"/>
        <w:jc w:val="left"/>
        <w:rPr>
          <w:rFonts w:hint="eastAsia" w:ascii="仿宋" w:hAnsi="仿宋" w:eastAsia="仿宋" w:cs="仿宋"/>
          <w:sz w:val="32"/>
          <w:szCs w:val="32"/>
          <w:highlight w:val="red"/>
        </w:rPr>
      </w:pPr>
      <w:r>
        <w:rPr>
          <w:rFonts w:hint="eastAsia" w:ascii="仿宋" w:hAnsi="仿宋" w:eastAsia="仿宋" w:cs="仿宋"/>
          <w:sz w:val="32"/>
          <w:szCs w:val="32"/>
        </w:rP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w:t>
      </w:r>
    </w:p>
    <w:p>
      <w:pPr>
        <w:jc w:val="center"/>
        <w:outlineLvl w:val="0"/>
        <w:rPr>
          <w:rFonts w:hint="eastAsia" w:ascii="仿宋" w:hAnsi="仿宋" w:eastAsia="仿宋" w:cs="仿宋"/>
          <w:sz w:val="32"/>
          <w:szCs w:val="24"/>
        </w:rPr>
      </w:pPr>
    </w:p>
    <w:p>
      <w:pPr>
        <w:jc w:val="center"/>
        <w:outlineLvl w:val="0"/>
        <w:rPr>
          <w:rFonts w:hint="eastAsia" w:ascii="仿宋" w:hAnsi="仿宋" w:eastAsia="仿宋" w:cs="仿宋"/>
          <w:sz w:val="32"/>
          <w:szCs w:val="24"/>
        </w:rPr>
      </w:pPr>
      <w:r>
        <w:rPr>
          <w:rFonts w:hint="eastAsia" w:ascii="仿宋" w:hAnsi="仿宋" w:eastAsia="仿宋" w:cs="仿宋"/>
          <w:sz w:val="32"/>
          <w:szCs w:val="24"/>
        </w:rPr>
        <w:t>部门职责-工作活动绩效目标</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18"/>
                <w:szCs w:val="18"/>
              </w:rPr>
            </w:pPr>
            <w:r>
              <w:rPr>
                <w:rFonts w:hint="eastAsia" w:ascii="仿宋" w:hAnsi="仿宋" w:eastAsia="仿宋" w:cs="仿宋"/>
                <w:sz w:val="18"/>
                <w:szCs w:val="18"/>
              </w:rPr>
              <w:t>香河县</w:t>
            </w:r>
            <w:r>
              <w:rPr>
                <w:rFonts w:hint="eastAsia" w:ascii="仿宋" w:hAnsi="仿宋" w:eastAsia="仿宋" w:cs="仿宋"/>
                <w:sz w:val="18"/>
                <w:szCs w:val="18"/>
                <w:lang w:eastAsia="zh-CN"/>
              </w:rPr>
              <w:t>国土资源局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18"/>
                <w:szCs w:val="18"/>
              </w:rPr>
            </w:pPr>
            <w:r>
              <w:rPr>
                <w:rFonts w:hint="eastAsia" w:ascii="仿宋" w:hAnsi="仿宋" w:eastAsia="仿宋" w:cs="仿宋"/>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职责活动</w:t>
            </w:r>
          </w:p>
        </w:tc>
        <w:tc>
          <w:tcPr>
            <w:tcW w:w="12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年度预算数</w:t>
            </w:r>
          </w:p>
        </w:tc>
        <w:tc>
          <w:tcPr>
            <w:tcW w:w="29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内容描述</w:t>
            </w:r>
          </w:p>
        </w:tc>
        <w:tc>
          <w:tcPr>
            <w:tcW w:w="29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绩效目标</w:t>
            </w:r>
          </w:p>
        </w:tc>
        <w:tc>
          <w:tcPr>
            <w:tcW w:w="1417"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绩效指标</w:t>
            </w:r>
          </w:p>
        </w:tc>
        <w:tc>
          <w:tcPr>
            <w:tcW w:w="2948" w:type="dxa"/>
            <w:gridSpan w:val="4"/>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12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1417"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优</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良</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中</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土地资源管理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44911</w:t>
            </w:r>
            <w:r>
              <w:rPr>
                <w:rFonts w:hint="eastAsia" w:ascii="仿宋" w:hAnsi="仿宋" w:eastAsia="仿宋" w:cs="仿宋"/>
                <w:lang w:val="en-US" w:eastAsia="zh-CN"/>
              </w:rPr>
              <w:t>.</w:t>
            </w:r>
            <w:r>
              <w:rPr>
                <w:rFonts w:hint="eastAsia" w:ascii="仿宋" w:hAnsi="仿宋" w:eastAsia="仿宋" w:cs="仿宋"/>
              </w:rPr>
              <w:t>06</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组织实施耕地与基本农田保护工作,组织建设用地审批，做好地籍管理工作和土地利用管理工作。</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实现基本农田面积不减少，各行业合理用地需求得到保障，及时掌握全县城乡土地变更信息，进一步提高土地节约集约利用水平。</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耕地与基本农田保护</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44030</w:t>
            </w:r>
            <w:r>
              <w:rPr>
                <w:rFonts w:hint="eastAsia" w:ascii="仿宋" w:hAnsi="仿宋" w:eastAsia="仿宋" w:cs="仿宋"/>
                <w:lang w:eastAsia="zh-CN"/>
              </w:rPr>
              <w:t>.</w:t>
            </w:r>
            <w:r>
              <w:rPr>
                <w:rFonts w:hint="eastAsia" w:ascii="仿宋" w:hAnsi="仿宋" w:eastAsia="仿宋" w:cs="仿宋"/>
              </w:rPr>
              <w:t>63</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开展全县基本农田保护和土地整理、复垦、开发工作，监测耕地质量等边变化，研究耕地保护相关制度。</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实现全县基本农田面积不减少，确保全县耕地占补平衡，掌握全县耕地质量变化情况。</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总量平衡面积实测率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占补平衡数据准确率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总量平衡数据准确率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耕地质量等别更新与检测完成率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土地复垦方案审查通过率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占补平衡面积实测率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地籍管理</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658</w:t>
            </w:r>
            <w:r>
              <w:rPr>
                <w:rFonts w:hint="eastAsia" w:ascii="仿宋" w:hAnsi="仿宋" w:eastAsia="仿宋" w:cs="仿宋"/>
                <w:lang w:val="en-US" w:eastAsia="zh-CN"/>
              </w:rPr>
              <w:t>.</w:t>
            </w:r>
            <w:r>
              <w:rPr>
                <w:rFonts w:hint="eastAsia" w:ascii="仿宋" w:hAnsi="仿宋" w:eastAsia="仿宋" w:cs="仿宋"/>
              </w:rPr>
              <w:t>78</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开展农村集体土地确权登记发证与土地变更调查，组织全县的不动产统一登记工作，调查掌握全县耕地后备资源。</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保持全县土地变更数据的现势性和连续性，为国土资源各类审批业务提供数据和图件支持；实现农村集体土地确权登记发证和不动产登记业务流程的信息化和规范化；掌握全县耕地后备资源的分布情况，为后续资源的利用奠定基础</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地籍管理完成率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土地变更调查完成率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土地利用管理</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221</w:t>
            </w:r>
            <w:r>
              <w:rPr>
                <w:rFonts w:hint="eastAsia" w:ascii="仿宋" w:hAnsi="仿宋" w:eastAsia="仿宋" w:cs="仿宋"/>
                <w:lang w:eastAsia="zh-CN"/>
              </w:rPr>
              <w:t>.</w:t>
            </w:r>
            <w:r>
              <w:rPr>
                <w:rFonts w:hint="eastAsia" w:ascii="仿宋" w:hAnsi="仿宋" w:eastAsia="仿宋" w:cs="仿宋"/>
              </w:rPr>
              <w:t>65</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监测全县地价和土地市场动态，管理和监督城乡建设用地供应、政府土地储备、土地开发和节约集约利用，组织实施城乡建设用地增减挂钩。</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对全县地价和土地市场进行动态监测，为县政府宏观调控和稳定土地市场提供决策依据；掌握评价土地利用现状和节约集约程度，为科学管地用地提供依据。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城乡建设用地增减挂钩工作完成率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评价成果县级汇总与分析更新完成情况</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监测分析工作次数</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4</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3</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2</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利用现状掌握率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矿产资源管理与地质环境保护</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负责全县矿产资源开发管理，组织实施矿产资源勘查，推动地质灾害防治地质环境恢复治理和地质遗迹保护工作，开展地下水监测和地热、矿泉水管理。</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实现全县矿产资源开发管理科学合理；加强基础地质工作；管理好重要地质资料；稳步推进矿山地质环境治理攻坚行动；提高地质灾害预警预报能力；掌握地面沉降动态变化数据。</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矿产资源开发与保护</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组织实施矿业管理工作，矿产资源保护和保护性开采特定矿种的管理事项。</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为矿产开发管理工作和矿业经济分析提供数据基础；保证矿产资源开发利用方案的科学、合理、有效，把好资源开发利用的源头关；推进矿产资源合理勘查，减低勘查投资风险。</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矿产勘查实施方案评审率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矿产开发利用方案通过率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地质勘查</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组织全县矿产资源调查评价，编制地质勘查规划并监督检查执行情况，管理地质勘查项目，组织实施重大地质勘查项目，管理地质勘查行业和地勘单位资质，组织实施全县找矿突破战略行动</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加强我县基础地质和地质找矿工作，服务地质勘查行业，提高我县经济和社会发展资源保障程度，引导社会资本有序投入地质勘查，推进地质勘查项目管理管能力。</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勘查设计工作量完成率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地勘项目管理和监管工作完成率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矿产资源储量管理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为矿产资源管理提供储量依据，维护国家矿产资源所有权益，掌控资源储量家底，提供宏观调控依据，为建设项目选址和压覆矿产资源调查提供决策依据，提高矿产资源综合利用能力，保护重要地质资料成果，降低地质工作风险，减少重复工作和资金浪费。</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地质资料管理工作完成率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矿产资源储量管理基础工作完成率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矿产资源勘查和开发利用督察工作完成率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地质环境保护</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开展全县地质环境综合调查评价,加强矿山地质环境保护工作，开展矿山地质环境调查评价和监测,建立矿山环境动态数据库；监督管理古生物化石、地质遗迹、矿业遗迹、海洋等重要保护区与保护地。</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掌握全县矿山环境动态变化，为矿山环境保护与管理提供基础数据；推进矿山环境治理攻坚行动有序开展；对重要地质遗迹进行有效保护。</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矿山环境整治完成率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地质遗迹保护率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矿山地质环境动态监测率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矿山环境动态数据库建设工作完成率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地质灾害防治</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组织实施地质灾害的防治工作，建立地质灾害调查评价、监测预警、应急和治理避让体系。</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提高地质灾害预警预报水平；做好汛期地质灾害防治工作，确保人民生命财产安全；为做好地质灾害防治工作提供科学依据。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风险预警预报率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地质灾害预警预报能力</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隐患点排查核查率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防治方案制定率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地下水监测与地热、矿泉水管理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开展地下水和地面沉降监测，服务于地下水超采综合治理、地面沉降防治和地下水污染防治。开展地热、浅层地温能和矿泉水资源调查评价、监测与数据库建设。</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掌握年度全县地面沉降动态变化，为地下水压采和地面沉降防治提供基础数据。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监测数据有效利用率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形成</w:t>
            </w: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未形成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地面沉降监测率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地下水监测率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海洋资源管理</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加强海域使用、海洋环境保护及海洋综合管理工作。</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管理全县海岸线，科学合理用海；保护海洋环境，减少入海污染；保护海岛生态系统，合理利用海岛资源，及时掌握海洋经济发展动态。</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海域使用管理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编制实施海洋功能区划和海岸保护利用规划，开展海域海岸带整治使用修复工作。</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做好海域海岸带整治修复工作；监测海岸线和重要河口等空间资源利用情况。</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监视监测海域使用情况信息及时掌握率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海域使用监测率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海域海岸带整治修复工作完成率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海洋生态环境保护与预报减灾</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强化重点海洋环境综合整治和海洋环境监视监测工作，开展海洋防灾减灾与生态保护工作，编制专项环境信息。</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监测与评价海域环境质量现状，全面近岸海域环境质量状况、海洋功能区环境状况、近岸生态系统健康状况和主要入海污染源状况。掌握我所辖海域海洋水文气象状况，为海洋防灾减灾提供技术支撑。</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监测数据合格率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海洋环境监测数据数量完成率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海岛管理和海洋经济服务</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加强海岛监视监测，保护海岛生态系统，合理开发利用海岛自然资源。开展海洋经济发展研究，做好海洋经济运行监测评估、统计分析和信息发布。</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海岛生态环境不断改善，开发利用秩序日益规范，自然资源开发利用科学合理。海洋经济发展情况掌握及时。</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海洋经济运行监测评估、统计分析和信息发布工作完成率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海岛生态环境保护修复率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海岛监视监测率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海洋经济发展研究工作完成率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国土资源执法与监察</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强化全县国土资源执法监察工作,提高国土资源执法能力。</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执法检查落实在日常，及时发现、制止违法行为，重大专项执法工作按量按质完成，维护群众合法权益。</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国土资源执法监察</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及时发现、制止国土资源违法行为。依法查处案件，推进国土资源基层所标准化建设。</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加强日常执法监管，将违法解决在初始、遏制在萌芽；做好重点执法专项行动，严厉打击违法，维护群众合法权益。</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举报线索处置率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≥99%</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重大典型违法案件调查反馈率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基础性保障项目完成率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专项执法工作完成率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国土资源政务管理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1000</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负责国土资源系统综合业务管理和机关综合事务管理。</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进一步增强国土资源（海洋）管理保障能力。</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　　综合业务管理</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制定编制全县国土资源规划，落实相关政策法规，开展国土资源科技发展研究等。</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规范做好国土资源（海洋）各类规划编制和实施，用地计划、用地预审管理，绿色矿山、示范基地建设，全面推行国土资源（海洋）工作依法行政，推动普法工作落实推进国土资源（海洋）科技的应用和推广。</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综合业务管理工作完成率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　　综合事务管理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1000</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做好国土资源相关综合性事务管理，保证行政工作高效有序运行。</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提高国土资源（海洋）事业发展保障能力。</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综合事务管理工作完成率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bl>
    <w:p>
      <w:pPr>
        <w:widowControl/>
        <w:spacing w:line="360" w:lineRule="auto"/>
        <w:ind w:firstLine="640" w:firstLineChars="200"/>
        <w:jc w:val="left"/>
        <w:rPr>
          <w:rFonts w:hint="eastAsia" w:ascii="仿宋_GB2312" w:hAnsi="仿宋_GB2312" w:eastAsia="仿宋_GB2312" w:cs="仿宋_GB2312"/>
          <w:color w:val="484747"/>
          <w:kern w:val="0"/>
          <w:sz w:val="32"/>
          <w:szCs w:val="32"/>
        </w:rPr>
      </w:pPr>
    </w:p>
    <w:p>
      <w:pPr>
        <w:autoSpaceDE w:val="0"/>
        <w:autoSpaceDN w:val="0"/>
        <w:adjustRightInd w:val="0"/>
        <w:spacing w:line="584" w:lineRule="exact"/>
        <w:ind w:firstLine="640" w:firstLineChars="200"/>
        <w:jc w:val="left"/>
        <w:rPr>
          <w:rFonts w:ascii="Calibri" w:hAnsi="Calibri" w:eastAsia="仿宋_GB2312" w:cs="Times New Roman"/>
          <w:sz w:val="32"/>
          <w:szCs w:val="32"/>
        </w:rPr>
      </w:pP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sz w:val="32"/>
          <w:szCs w:val="32"/>
        </w:rPr>
        <w:t>（八）</w:t>
      </w:r>
      <w:r>
        <w:rPr>
          <w:rFonts w:ascii="Calibri" w:hAnsi="Calibri" w:eastAsia="仿宋_GB2312" w:cs="Times New Roman"/>
          <w:color w:val="333333"/>
          <w:kern w:val="0"/>
          <w:sz w:val="32"/>
          <w:szCs w:val="32"/>
          <w:shd w:val="clear" w:color="auto" w:fill="FFFFFF"/>
        </w:rPr>
        <w:t>政府采购决算情况</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color w:val="333333"/>
          <w:kern w:val="0"/>
          <w:sz w:val="32"/>
          <w:szCs w:val="32"/>
          <w:shd w:val="clear" w:color="auto" w:fill="FFFFFF"/>
        </w:rPr>
        <w:t>2016年度部门政府采购支出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万元，其中：政府采购货物支出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万元，政府采购工程支出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万元，政府采购服务支出</w:t>
      </w:r>
      <w:r>
        <w:rPr>
          <w:rFonts w:hint="eastAsia" w:ascii="Calibri" w:hAnsi="Calibri" w:eastAsia="仿宋_GB2312" w:cs="Times New Roman"/>
          <w:color w:val="333333"/>
          <w:kern w:val="0"/>
          <w:sz w:val="32"/>
          <w:szCs w:val="32"/>
          <w:shd w:val="clear" w:color="auto" w:fill="FFFFFF"/>
          <w:lang w:val="en-US" w:eastAsia="zh-CN"/>
        </w:rPr>
        <w:t>0</w:t>
      </w:r>
      <w:r>
        <w:rPr>
          <w:rFonts w:ascii="Calibri" w:hAnsi="Calibri" w:eastAsia="仿宋_GB2312" w:cs="Times New Roman"/>
          <w:color w:val="333333"/>
          <w:kern w:val="0"/>
          <w:sz w:val="32"/>
          <w:szCs w:val="32"/>
          <w:shd w:val="clear" w:color="auto" w:fill="FFFFFF"/>
        </w:rPr>
        <w:t>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（九）国有资产信息</w:t>
      </w:r>
    </w:p>
    <w:p>
      <w:pPr>
        <w:spacing w:line="584" w:lineRule="exact"/>
        <w:ind w:firstLine="640" w:firstLineChars="200"/>
        <w:rPr>
          <w:rFonts w:hint="eastAsia" w:ascii="Calibri" w:hAnsi="Calibri" w:eastAsia="仿宋_GB2312"/>
          <w:sz w:val="32"/>
          <w:szCs w:val="32"/>
        </w:rPr>
      </w:pPr>
      <w:r>
        <w:rPr>
          <w:rFonts w:hint="eastAsia" w:ascii="Calibri" w:hAnsi="Calibri" w:eastAsia="仿宋_GB2312"/>
          <w:sz w:val="32"/>
          <w:szCs w:val="32"/>
          <w:lang w:eastAsia="zh-CN"/>
        </w:rPr>
        <w:t>截止</w:t>
      </w:r>
      <w:r>
        <w:rPr>
          <w:rFonts w:hint="eastAsia" w:ascii="Calibri" w:hAnsi="Calibri" w:eastAsia="仿宋_GB2312"/>
          <w:sz w:val="32"/>
          <w:szCs w:val="32"/>
        </w:rPr>
        <w:t>2016年12月31日，本部门国有资产金额为</w:t>
      </w:r>
      <w:r>
        <w:rPr>
          <w:rFonts w:hint="eastAsia" w:ascii="Calibri" w:hAnsi="Calibri" w:eastAsia="仿宋_GB2312"/>
          <w:sz w:val="32"/>
          <w:szCs w:val="32"/>
          <w:lang w:val="en-US" w:eastAsia="zh-CN"/>
        </w:rPr>
        <w:t>1443.13</w:t>
      </w:r>
      <w:r>
        <w:rPr>
          <w:rFonts w:hint="eastAsia" w:ascii="Calibri" w:hAnsi="Calibri" w:eastAsia="仿宋_GB2312"/>
          <w:sz w:val="32"/>
          <w:szCs w:val="32"/>
        </w:rPr>
        <w:t>万元，其中：流动资产</w:t>
      </w:r>
      <w:r>
        <w:rPr>
          <w:rFonts w:hint="eastAsia" w:ascii="Calibri" w:hAnsi="Calibri" w:eastAsia="仿宋_GB2312"/>
          <w:sz w:val="32"/>
          <w:szCs w:val="32"/>
          <w:lang w:val="en-US" w:eastAsia="zh-CN"/>
        </w:rPr>
        <w:t>460.62</w:t>
      </w:r>
      <w:r>
        <w:rPr>
          <w:rFonts w:hint="eastAsia" w:ascii="Calibri" w:hAnsi="Calibri" w:eastAsia="仿宋_GB2312"/>
          <w:sz w:val="32"/>
          <w:szCs w:val="32"/>
        </w:rPr>
        <w:t>万元；固定资产</w:t>
      </w:r>
      <w:r>
        <w:rPr>
          <w:rFonts w:hint="eastAsia" w:ascii="Calibri" w:hAnsi="Calibri" w:eastAsia="仿宋_GB2312"/>
          <w:sz w:val="32"/>
          <w:szCs w:val="32"/>
          <w:lang w:val="en-US" w:eastAsia="zh-CN"/>
        </w:rPr>
        <w:t>982.51</w:t>
      </w:r>
      <w:r>
        <w:rPr>
          <w:rFonts w:hint="eastAsia" w:ascii="Calibri" w:hAnsi="Calibri" w:eastAsia="仿宋_GB2312"/>
          <w:sz w:val="32"/>
          <w:szCs w:val="32"/>
        </w:rPr>
        <w:t>万元：房屋</w:t>
      </w:r>
      <w:r>
        <w:rPr>
          <w:rFonts w:hint="eastAsia" w:ascii="Calibri" w:hAnsi="Calibri" w:eastAsia="仿宋_GB2312"/>
          <w:sz w:val="32"/>
          <w:szCs w:val="32"/>
          <w:lang w:val="en-US" w:eastAsia="zh-CN"/>
        </w:rPr>
        <w:t>4368.44</w:t>
      </w:r>
      <w:r>
        <w:rPr>
          <w:rFonts w:hint="eastAsia" w:ascii="Calibri" w:hAnsi="Calibri" w:eastAsia="仿宋_GB2312"/>
          <w:sz w:val="32"/>
          <w:szCs w:val="32"/>
        </w:rPr>
        <w:t>平米，价值</w:t>
      </w:r>
      <w:r>
        <w:rPr>
          <w:rFonts w:hint="eastAsia" w:ascii="Calibri" w:hAnsi="Calibri" w:eastAsia="仿宋_GB2312"/>
          <w:sz w:val="32"/>
          <w:szCs w:val="32"/>
          <w:lang w:val="en-US" w:eastAsia="zh-CN"/>
        </w:rPr>
        <w:t>683.23</w:t>
      </w:r>
      <w:r>
        <w:rPr>
          <w:rFonts w:hint="eastAsia" w:ascii="Calibri" w:hAnsi="Calibri" w:eastAsia="仿宋_GB2312"/>
          <w:sz w:val="32"/>
          <w:szCs w:val="32"/>
        </w:rPr>
        <w:t>万元，汽车</w:t>
      </w:r>
      <w:r>
        <w:rPr>
          <w:rFonts w:hint="eastAsia" w:ascii="Calibri" w:hAnsi="Calibri" w:eastAsia="仿宋_GB2312"/>
          <w:sz w:val="32"/>
          <w:szCs w:val="32"/>
          <w:lang w:val="en-US" w:eastAsia="zh-CN"/>
        </w:rPr>
        <w:t>7</w:t>
      </w:r>
      <w:r>
        <w:rPr>
          <w:rFonts w:hint="eastAsia" w:ascii="Calibri" w:hAnsi="Calibri" w:eastAsia="仿宋_GB2312"/>
          <w:sz w:val="32"/>
          <w:szCs w:val="32"/>
        </w:rPr>
        <w:t>辆，价值</w:t>
      </w:r>
      <w:r>
        <w:rPr>
          <w:rFonts w:hint="eastAsia" w:ascii="Calibri" w:hAnsi="Calibri" w:eastAsia="仿宋_GB2312"/>
          <w:sz w:val="32"/>
          <w:szCs w:val="32"/>
          <w:lang w:val="en-US" w:eastAsia="zh-CN"/>
        </w:rPr>
        <w:t>66.42</w:t>
      </w:r>
      <w:r>
        <w:rPr>
          <w:rFonts w:hint="eastAsia" w:ascii="Calibri" w:hAnsi="Calibri" w:eastAsia="仿宋_GB2312"/>
          <w:sz w:val="32"/>
          <w:szCs w:val="32"/>
        </w:rPr>
        <w:t>万元，单价在50万以上的设备0元，其他固定资产</w:t>
      </w:r>
      <w:r>
        <w:rPr>
          <w:rFonts w:hint="eastAsia" w:ascii="Calibri" w:hAnsi="Calibri" w:eastAsia="仿宋_GB2312"/>
          <w:sz w:val="32"/>
          <w:szCs w:val="32"/>
          <w:lang w:val="en-US" w:eastAsia="zh-CN"/>
        </w:rPr>
        <w:t>232.86</w:t>
      </w:r>
      <w:r>
        <w:rPr>
          <w:rFonts w:hint="eastAsia" w:ascii="Calibri" w:hAnsi="Calibri" w:eastAsia="仿宋_GB2312"/>
          <w:sz w:val="32"/>
          <w:szCs w:val="32"/>
        </w:rPr>
        <w:t>万元。</w:t>
      </w:r>
    </w:p>
    <w:p>
      <w:pPr>
        <w:ind w:left="479" w:leftChars="228" w:firstLine="560" w:firstLineChars="175"/>
        <w:rPr>
          <w:rFonts w:hint="eastAsia" w:ascii="仿宋_GB2312" w:hAnsi="??" w:eastAsia="仿宋_GB2312" w:cs="宋体"/>
          <w:sz w:val="32"/>
          <w:szCs w:val="32"/>
        </w:rPr>
      </w:pPr>
    </w:p>
    <w:p>
      <w:pPr>
        <w:spacing w:line="584" w:lineRule="exact"/>
        <w:ind w:firstLine="640" w:firstLineChars="200"/>
        <w:rPr>
          <w:rFonts w:ascii="Calibri" w:hAnsi="Calibri" w:eastAsia="仿宋_GB2312" w:cs="Times New Roman"/>
          <w:sz w:val="32"/>
          <w:szCs w:val="32"/>
        </w:rPr>
      </w:pPr>
    </w:p>
    <w:p>
      <w:pPr>
        <w:numPr>
          <w:ilvl w:val="0"/>
          <w:numId w:val="2"/>
        </w:numPr>
        <w:ind w:firstLine="640" w:firstLineChars="200"/>
        <w:rPr>
          <w:rFonts w:ascii="Calibri" w:hAnsi="Calibri" w:eastAsia="仿宋_GB2312" w:cs="Times New Roman"/>
          <w:sz w:val="32"/>
          <w:szCs w:val="32"/>
        </w:rPr>
      </w:pPr>
      <w:r>
        <w:rPr>
          <w:rFonts w:ascii="Calibri" w:hAnsi="Calibri" w:eastAsia="仿宋_GB2312" w:cs="Times New Roman"/>
          <w:sz w:val="32"/>
          <w:szCs w:val="32"/>
        </w:rPr>
        <w:t>其他需要说明的情况</w:t>
      </w:r>
    </w:p>
    <w:p>
      <w:pPr>
        <w:numPr>
          <w:ilvl w:val="0"/>
          <w:numId w:val="0"/>
        </w:numPr>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无。</w:t>
      </w:r>
    </w:p>
    <w:p>
      <w:pPr>
        <w:autoSpaceDE w:val="0"/>
        <w:autoSpaceDN w:val="0"/>
        <w:adjustRightInd w:val="0"/>
        <w:spacing w:line="520" w:lineRule="exact"/>
        <w:ind w:firstLine="800" w:firstLineChars="25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名词解释</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（二）事业收入：指事业单位开展专业业务活动及辅助活动所取得的收入。</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（三）其他收入：指除上述“财政拨款收入”、“事业收入”、“经营收入”等以外的收入。</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（五）年初结转和结余：指以前年度尚未完成、结转到本年仍按原规定用途继续使用的资金，或项目已完成等产生的结余资金。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（六）结余分配：指事业单位按照事业单位会计制度的规定从非财政补助结余中分配的事业基金和职工福利基金等。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（七）年末结转和结余：指单位按有关规定结转到下年或以后年度继续使用的资金，或项目已完成等产生的结余资金。</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（八）基本支出：填列单位为保障机构正常运转、完成日常工作任务而发生的各项支出。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（九）项目支出：填列单位为完成特定的行政工作任务或事业发展目标，在基本支出之外发生的各项支出。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（十一）其他资本性支出：填列由各级非发展与改革部门集中安排的用于购置固定资产、战备性和应急性储备、土地和无形资产，以及购建基础设施、大型修缮和财政支持企业更新改造所发生的支出。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（十三）其他交通费用：填列单位除公务用车运行维护费以外的其他交通费用。如飞机、船舶等的燃料费、维修费、过桥过路费、保险费、出租车费用、公务交通补贴等。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（十四）公务用车购置：填列单位公务用车车辆购置支出（含车辆购置税）。</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（十五）其他交通工具购置：填列单位除公务用车外的其他各类交通工具（如船舶、飞机）购置支出（含车辆购置税）。</w:t>
      </w:r>
    </w:p>
    <w:p>
      <w:pPr>
        <w:autoSpaceDE w:val="0"/>
        <w:autoSpaceDN w:val="0"/>
        <w:snapToGrid w:val="0"/>
        <w:spacing w:line="520" w:lineRule="exact"/>
        <w:ind w:firstLine="645"/>
        <w:rPr>
          <w:rFonts w:ascii="微软雅黑" w:hAnsi="微软雅黑" w:eastAsia="微软雅黑" w:cs="Times New Roman"/>
          <w:color w:val="3E3E3E"/>
          <w:sz w:val="32"/>
          <w:szCs w:val="32"/>
        </w:rPr>
      </w:pPr>
      <w:r>
        <w:rPr>
          <w:rFonts w:hint="eastAsia" w:ascii="仿宋_GB2312" w:hAnsi="仿宋_GB2312" w:eastAsia="仿宋_GB2312" w:cs="仿宋_GB2312"/>
          <w:color w:val="333333"/>
          <w:kern w:val="0"/>
          <w:sz w:val="32"/>
          <w:szCs w:val="32"/>
          <w:shd w:val="clear" w:color="auto" w:fill="FFFFFF"/>
        </w:rPr>
        <w:t>（十六）</w:t>
      </w:r>
      <w:r>
        <w:rPr>
          <w:rFonts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ascii="仿宋_GB2312" w:hAnsi="黑体" w:eastAsia="仿宋_GB2312" w:cs="Times New Roman"/>
          <w:color w:val="FF000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Sitka Text">
    <w:altName w:val="PMingLiU-ExtB"/>
    <w:panose1 w:val="02000505000000020004"/>
    <w:charset w:val="00"/>
    <w:family w:val="auto"/>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小标宋">
    <w:altName w:val="黑体"/>
    <w:panose1 w:val="03000509000000000000"/>
    <w:charset w:val="86"/>
    <w:family w:val="script"/>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等线">
    <w:altName w:val="方正兰亭超细黑简体"/>
    <w:panose1 w:val="00000000000000000000"/>
    <w:charset w:val="86"/>
    <w:family w:val="auto"/>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lvl>
  </w:abstractNum>
  <w:abstractNum w:abstractNumId="1">
    <w:nsid w:val="59F84747"/>
    <w:multiLevelType w:val="singleLevel"/>
    <w:tmpl w:val="59F84747"/>
    <w:lvl w:ilvl="0" w:tentative="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1E38"/>
    <w:rsid w:val="00011744"/>
    <w:rsid w:val="00037AF6"/>
    <w:rsid w:val="00045A61"/>
    <w:rsid w:val="00055D09"/>
    <w:rsid w:val="00075D5F"/>
    <w:rsid w:val="000919A1"/>
    <w:rsid w:val="000C3A19"/>
    <w:rsid w:val="000D740D"/>
    <w:rsid w:val="000F5A75"/>
    <w:rsid w:val="001245BB"/>
    <w:rsid w:val="00135FD0"/>
    <w:rsid w:val="0018479D"/>
    <w:rsid w:val="001B17E7"/>
    <w:rsid w:val="001B4654"/>
    <w:rsid w:val="00214BB8"/>
    <w:rsid w:val="00241FD4"/>
    <w:rsid w:val="00242781"/>
    <w:rsid w:val="00251B12"/>
    <w:rsid w:val="00260399"/>
    <w:rsid w:val="002645FB"/>
    <w:rsid w:val="00296113"/>
    <w:rsid w:val="002A215D"/>
    <w:rsid w:val="002F3E58"/>
    <w:rsid w:val="002F4AF0"/>
    <w:rsid w:val="0030542C"/>
    <w:rsid w:val="00311B7A"/>
    <w:rsid w:val="0038086D"/>
    <w:rsid w:val="003B35BC"/>
    <w:rsid w:val="003E1A7F"/>
    <w:rsid w:val="003E52B7"/>
    <w:rsid w:val="00451871"/>
    <w:rsid w:val="00472923"/>
    <w:rsid w:val="004746DB"/>
    <w:rsid w:val="004A0A98"/>
    <w:rsid w:val="004E3066"/>
    <w:rsid w:val="004E74CD"/>
    <w:rsid w:val="0050738A"/>
    <w:rsid w:val="0052680D"/>
    <w:rsid w:val="00541457"/>
    <w:rsid w:val="00573147"/>
    <w:rsid w:val="00573562"/>
    <w:rsid w:val="00590472"/>
    <w:rsid w:val="005D77B1"/>
    <w:rsid w:val="00614A29"/>
    <w:rsid w:val="00623765"/>
    <w:rsid w:val="00690D11"/>
    <w:rsid w:val="006A1C7F"/>
    <w:rsid w:val="00732A90"/>
    <w:rsid w:val="0075393C"/>
    <w:rsid w:val="007722EB"/>
    <w:rsid w:val="00776C08"/>
    <w:rsid w:val="007A11A0"/>
    <w:rsid w:val="007B4EE0"/>
    <w:rsid w:val="007C280D"/>
    <w:rsid w:val="007E0058"/>
    <w:rsid w:val="007E1DA8"/>
    <w:rsid w:val="007F6C26"/>
    <w:rsid w:val="00801227"/>
    <w:rsid w:val="008071BA"/>
    <w:rsid w:val="008334AE"/>
    <w:rsid w:val="00836FED"/>
    <w:rsid w:val="00845CD2"/>
    <w:rsid w:val="008502D8"/>
    <w:rsid w:val="00852B0D"/>
    <w:rsid w:val="00881692"/>
    <w:rsid w:val="008A348E"/>
    <w:rsid w:val="008B3CC5"/>
    <w:rsid w:val="008C2BAF"/>
    <w:rsid w:val="008E4261"/>
    <w:rsid w:val="008F43CD"/>
    <w:rsid w:val="008F4662"/>
    <w:rsid w:val="00905D08"/>
    <w:rsid w:val="00925753"/>
    <w:rsid w:val="00952E5C"/>
    <w:rsid w:val="00966C5C"/>
    <w:rsid w:val="00973104"/>
    <w:rsid w:val="0098798C"/>
    <w:rsid w:val="009B749A"/>
    <w:rsid w:val="00A42DC4"/>
    <w:rsid w:val="00A668FE"/>
    <w:rsid w:val="00A72D2E"/>
    <w:rsid w:val="00A911E7"/>
    <w:rsid w:val="00A939D9"/>
    <w:rsid w:val="00AC63B4"/>
    <w:rsid w:val="00B14BEC"/>
    <w:rsid w:val="00B20712"/>
    <w:rsid w:val="00B218B0"/>
    <w:rsid w:val="00B30A9E"/>
    <w:rsid w:val="00B43238"/>
    <w:rsid w:val="00B75216"/>
    <w:rsid w:val="00B8099D"/>
    <w:rsid w:val="00B91D52"/>
    <w:rsid w:val="00B93060"/>
    <w:rsid w:val="00BA1ACD"/>
    <w:rsid w:val="00BF33AE"/>
    <w:rsid w:val="00BF7510"/>
    <w:rsid w:val="00C73A0C"/>
    <w:rsid w:val="00CA2252"/>
    <w:rsid w:val="00CA2FDF"/>
    <w:rsid w:val="00CA7176"/>
    <w:rsid w:val="00CD2773"/>
    <w:rsid w:val="00CE143B"/>
    <w:rsid w:val="00CF235E"/>
    <w:rsid w:val="00D43A15"/>
    <w:rsid w:val="00D63054"/>
    <w:rsid w:val="00DA2890"/>
    <w:rsid w:val="00E167C7"/>
    <w:rsid w:val="00E551C6"/>
    <w:rsid w:val="00E76778"/>
    <w:rsid w:val="00EC47F6"/>
    <w:rsid w:val="00EE1B43"/>
    <w:rsid w:val="00F07605"/>
    <w:rsid w:val="00F153EF"/>
    <w:rsid w:val="00F17557"/>
    <w:rsid w:val="00F540F4"/>
    <w:rsid w:val="00F66032"/>
    <w:rsid w:val="00F958C2"/>
    <w:rsid w:val="00FD3917"/>
    <w:rsid w:val="05A014DB"/>
    <w:rsid w:val="20F00E7F"/>
    <w:rsid w:val="26431B80"/>
    <w:rsid w:val="2D0120BA"/>
    <w:rsid w:val="38427CEC"/>
    <w:rsid w:val="42B20106"/>
    <w:rsid w:val="493A156F"/>
    <w:rsid w:val="55A41D03"/>
    <w:rsid w:val="61087CF7"/>
    <w:rsid w:val="62A17956"/>
    <w:rsid w:val="639D14E0"/>
    <w:rsid w:val="67583207"/>
    <w:rsid w:val="70C528B6"/>
    <w:rsid w:val="76F11D7F"/>
    <w:rsid w:val="79F00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paragraph" w:styleId="6">
    <w:name w:val="Normal (Web)"/>
    <w:basedOn w:val="1"/>
    <w:semiHidden/>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3"/>
    <w:qFormat/>
    <w:uiPriority w:val="0"/>
    <w:rPr>
      <w:rFonts w:ascii="Times New Roman" w:hAnsi="Times New Roman" w:eastAsia="宋体" w:cs="Times New Roman"/>
      <w:sz w:val="18"/>
      <w:szCs w:val="18"/>
    </w:rPr>
  </w:style>
  <w:style w:type="character" w:customStyle="1" w:styleId="10">
    <w:name w:val="页脚 Char"/>
    <w:basedOn w:val="7"/>
    <w:link w:val="2"/>
    <w:qFormat/>
    <w:uiPriority w:val="0"/>
    <w:rPr>
      <w:rFonts w:ascii="Times New Roman" w:hAnsi="Times New Roman" w:eastAsia="宋体" w:cs="Times New Roman"/>
      <w:sz w:val="18"/>
      <w:szCs w:val="18"/>
    </w:rPr>
  </w:style>
  <w:style w:type="paragraph" w:customStyle="1" w:styleId="11">
    <w:name w:val="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73EFF-CC9C-4517-B60D-2C9C8F10684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601</Words>
  <Characters>3426</Characters>
  <Lines>28</Lines>
  <Paragraphs>8</Paragraphs>
  <ScaleCrop>false</ScaleCrop>
  <LinksUpToDate>false</LinksUpToDate>
  <CharactersWithSpaces>4019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2017-10-25T08:57:00Z</dcterms:created>
  <dc:creator>guest</dc:creator>
  <cp:lastModifiedBy>Administrator</cp:lastModifiedBy>
  <cp:lastPrinted>2017-10-26T13:03:00Z</cp:lastPrinted>
  <dcterms:modified xsi:type="dcterms:W3CDTF">2017-11-01T02:45:03Z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